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A7C" w:rsidRDefault="003F4F8B">
      <w:r>
        <w:rPr>
          <w:rFonts w:ascii="TH SarabunPSK" w:hAnsi="TH SarabunPSK" w:cs="TH SarabunPSK"/>
          <w:b/>
          <w:bCs/>
          <w:noProof/>
          <w:color w:val="0D0D0D"/>
          <w:sz w:val="32"/>
          <w:szCs w:val="32"/>
        </w:rPr>
        <w:drawing>
          <wp:inline distT="0" distB="0" distL="0" distR="0">
            <wp:extent cx="9858195" cy="640942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195" cy="6409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421" w:rsidRDefault="00E12421">
      <w:pPr>
        <w:sectPr w:rsidR="00E12421" w:rsidSect="003F4F8B">
          <w:pgSz w:w="16838" w:h="11906" w:orient="landscape"/>
          <w:pgMar w:top="851" w:right="962" w:bottom="709" w:left="851" w:header="709" w:footer="709" w:gutter="0"/>
          <w:cols w:space="708"/>
          <w:docGrid w:linePitch="360"/>
        </w:sectPr>
      </w:pPr>
    </w:p>
    <w:p w:rsidR="00E12421" w:rsidRPr="002C4FC6" w:rsidRDefault="00E12421" w:rsidP="00E12421">
      <w:pPr>
        <w:tabs>
          <w:tab w:val="left" w:pos="0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color w:val="0D0D0D"/>
          <w:sz w:val="32"/>
          <w:szCs w:val="32"/>
        </w:rPr>
      </w:pPr>
      <w:r w:rsidRPr="002C4FC6">
        <w:rPr>
          <w:rFonts w:ascii="TH SarabunPSK" w:hAnsi="TH SarabunPSK" w:cs="TH SarabunPSK" w:hint="cs"/>
          <w:b/>
          <w:bCs/>
          <w:color w:val="0D0D0D"/>
          <w:sz w:val="32"/>
          <w:szCs w:val="32"/>
          <w:cs/>
        </w:rPr>
        <w:lastRenderedPageBreak/>
        <w:t>คำอธิบายแบบ</w:t>
      </w:r>
      <w:r w:rsidRPr="002C4FC6">
        <w:rPr>
          <w:rFonts w:ascii="TH SarabunPSK" w:hAnsi="TH SarabunPSK" w:cs="TH SarabunPSK"/>
          <w:b/>
          <w:bCs/>
          <w:color w:val="0D0D0D"/>
          <w:sz w:val="32"/>
          <w:szCs w:val="32"/>
        </w:rPr>
        <w:t>R-IC2</w:t>
      </w:r>
    </w:p>
    <w:tbl>
      <w:tblPr>
        <w:tblW w:w="5123" w:type="pct"/>
        <w:jc w:val="center"/>
        <w:tblLook w:val="0000"/>
      </w:tblPr>
      <w:tblGrid>
        <w:gridCol w:w="563"/>
        <w:gridCol w:w="1571"/>
        <w:gridCol w:w="7164"/>
        <w:gridCol w:w="1524"/>
      </w:tblGrid>
      <w:tr w:rsidR="00E12421" w:rsidRPr="002C4FC6" w:rsidTr="00931B04">
        <w:trPr>
          <w:trHeight w:val="20"/>
          <w:tblHeader/>
          <w:jc w:val="center"/>
        </w:trPr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  <w:cs/>
              </w:rPr>
              <w:t>แบบฟอร์ม/ข้อ/หัวตาราง</w:t>
            </w:r>
          </w:p>
        </w:tc>
        <w:tc>
          <w:tcPr>
            <w:tcW w:w="3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  <w:cs/>
              </w:rPr>
              <w:t>คำอธิบายการกรอกข้อมูล/ตัวอย่างการกรอก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  <w:cs/>
              </w:rPr>
              <w:t>ความเชื่อมโยง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ชื่อส่วนงานย่อย และปีงบประมาณ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ระบุชื่อของคณะ/วิทยาลัย/วิทยาเขต/สำนัก/หน่วยงาน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ซึ่งมีสถานะเป็นส่วนงานย่อยของมหาวิทยาลัยอุบลราชธานี และระบุปีงบประมาณ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เป็นปีงบประมาณที่จะดำเนินการต่อไป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1.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ด้านการดำเนินงาน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ระบุอย่างใดอย่างหนึ่งจาก ดังนี้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การสร้างบัณฑิต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การวิจัย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การบริการวิชาการ หรือการทำนุบำรุงศิลปวัฒนธรรม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โดยหากต้องการระบุหลายด้าน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u w:val="single"/>
                <w:cs/>
              </w:rPr>
              <w:t>จำนวนแบบจะมีจำนวนเท่ากับจำนวนด้านที่ระบุ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R-IC1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1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2.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ขั้นตอนหลักที่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ระบุขั้นตอนหลักตามความเชื่อมโยงวัตถุประสงค์และขั้นตอนการดำเนินงานด้านต่างๆ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ของมหาวิทยาลัยกับมาตรฐานการประกันคุณภาพการศึกษาภายใน และมาตรฐานการควบคุมภายใน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เช่น หาก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ระบุเป็นด้านการสร้างบัณฑิต ขั้นตอนหลัก เลือกระบุเป็นขั้นต่างๆ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ที่เกี่ยวข้อง เช่น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สร้างและ/หรือพัฒนาหลักสูตร และบริหารหลักสูตร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5.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จัดการเรียนการสอนและพัฒนานักศึกษา เป็นต้น โดยหากต้องการระบุหลายขั้นตอนหลัก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u w:val="single"/>
                <w:cs/>
              </w:rPr>
              <w:t>จำนวนแบบจะมีจำนวนเท่ากับจำนวนขั้นตอนหลักที่ระบุ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2.1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หัวข้อรอง (ถ้ามี)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ระบุหัวข้อรองของขั้นตอนหลัก (ถ้ามี)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ตามความเชื่อมโยงวัตถุประสงค์และขั้นตอนการดำเนินงานด้านต่างๆ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ของมหาวิทยาลัยกับมาตรฐานการประกันคุณภาพการศึกษาภายใน และมาตรฐานการควบคุมภายใน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โดยระบุให้สอดคล้องกับข้อ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และ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เช่น หาก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ระบุเป็นด้านการสร้างบัณฑิต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2.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ระบุเป็น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จัดการเรียนการสอนและพัฒนานักศึกษา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2.1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อาจระบุเป็น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5.1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พัฒนากระบวนการจัดการเรียนการสอนตามกรอบมาตรฐานคุณวุฒิอุดมศึกษา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โดยเน้นผู้เรียนเป็นสำคัญ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กระบวนการเรียนรู้ที่ให้นักศึกษามีประสบการณ์ในการทำงานจริง เรียนรู้ร่วมกับชุมชน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และรองรับการเปิดประชาคมอาเซียน เป็นต้น โดยหากต้องการระบุหลายหัวข้อรอง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u w:val="single"/>
                <w:cs/>
              </w:rPr>
              <w:t>จำนวนแบบจะมีจำนวนเท่ากับจำนวนหัวข้อรองที่ระบุ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2.2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หัวข้อย่อย (ถ้ามี)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ระบุหัวข้อย่อยของขั้นตอนรอง (ถ้ามี)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ตามความเชื่อมโยงวัตถุประสงค์และขั้นตอนการดำเนินงานด้านต่างๆ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ของมหาวิทยาลัยกับมาตรฐานการประกันคุณภาพการศึกษาภายใน และมาตรฐานการควบคุมภายใน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โดยระบุให้สอดคล้องกับข้อ </w:t>
            </w:r>
            <w:proofErr w:type="gram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1.,</w:t>
            </w:r>
            <w:proofErr w:type="gram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2., 2.1 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เช่น หาก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ระบุเป็นด้านการสร้างบัณฑิต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2.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ระบุเป็น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จัดการเรียนการสอนและพัฒนานักศึกษา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2.1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ระบุเป็น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5.1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พัฒนากระบวนการจัดการเรียนการสอนตามกรอบมาตรฐานคุณวุฒิอุดมศึกษา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โดยเน้นผู้เรียนเป็นสำคัญ กระบวนการเรียนรู้ที่ให้นักศึกษามีประสบการณ์ในการทำงานจริง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เรียนรู้ร่วมกับชุมชน และรองรับการเปิดประชาคมอาเซียน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2.2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จะไม่ต้องระบุ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เนื่องจาก หัวข้อรอง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5.1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ไม่มีหัวข้อย่อย ให้ใส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"-"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ไว้ เป็นต้น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หากหัวข้อรองมีหัวข้อย่อย ให้ระบุลำดับและชื่อหัวข้อย่อยนั้นๆ โดยหากต้องการระบุหลายหัวข้อย่อย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u w:val="single"/>
                <w:cs/>
              </w:rPr>
              <w:t>จำนวนแบบจะมีจำนวนเท่ากับจำนวนหัวข้อย่อยที่ระบุ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3.</w:t>
            </w:r>
          </w:p>
        </w:tc>
        <w:tc>
          <w:tcPr>
            <w:tcW w:w="72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วัตถุประสงค์ขั้นตอนหลัก</w:t>
            </w:r>
          </w:p>
        </w:tc>
        <w:tc>
          <w:tcPr>
            <w:tcW w:w="331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ระบุวัตถุประสงค์ของขั้นตอนหลัก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ตามความเชื่อมโยงวัตถุประสงค์และขั้นตอนการดำเนินงานด้านต่างๆ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ของมหาวิทยาลัยกับมาตรฐานการประกันคุณภาพการศึกษาภายใน และมาตรฐานการควบคุมภายใน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โดยระบุให้สอดคล้องกับข้อ </w:t>
            </w:r>
            <w:proofErr w:type="gram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1.,</w:t>
            </w:r>
            <w:proofErr w:type="gram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2., 2.1, 2.2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เช่น หาก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ระบุเป็นด้านการสร้างบัณฑิต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2.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ระบุเป็น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จัดการเรียนการสอนและพัฒนานักศึกษา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2.1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ระบุเป็น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5.1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พัฒนากระบวนการจัดการเรียนการสอนตามกรอบมาตรฐานคุณวุฒิอุดมศึกษา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โดยเน้นผู้เรียนเป็นสำคัญ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กระบวนการเรียนรู้ที่ให้นักศึกษามีประสบการณ์ในการทำงานจริง เรียนรู้ร่วมกับชุมชน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และรองรับการเปิดประชาคมอาเซียน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2.2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ระบุเป็น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"-", 3.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จะระบุเป็น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เพื่อให้นักศึกษามีความรู้ ความสามารถ และทักษะ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สามารถเรียนรู้และพัฒนาตนเองได้อย่างต่อเนื่อง และรองรับการเปิดประชาคมอาเซียน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เป็นต้น</w:t>
            </w:r>
          </w:p>
        </w:tc>
        <w:tc>
          <w:tcPr>
            <w:tcW w:w="70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(1)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ความเสี่ยง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 w:hint="cs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ระบุเหตุการณ์ที่ไม่พึงประสงค์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ซึ่งอาจเกิดขึ้นในอนาคต และมีผลกระทบ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หรือทำให้การดำเนินงานไม่ประสบความสำเร็จตามวัตถุประสงค์และเป้าหมายของหน่วยงาน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รวมทั้งกระทบต่อความสำเร็จตามวัตถุประสงค์ของการควบคุมด้านใดด้านหนึ่งหรือหลายด้าน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คือ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 xml:space="preserve">1.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>ด้านการดำเนินงาน (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>Operation) = O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br/>
              <w:t xml:space="preserve">2.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>ด้านความถูกต้องเชื่อถือได้ของรายงานทางการเงิน (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>Financial Reporting) = F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br/>
              <w:t xml:space="preserve">3.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>ด้านการปฏิบัติตามกฎหมาย ระเบียบ ข้อบังคับ ฯลฯ (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>Compliance) = C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 xml:space="preserve">   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>ซึ่งเป็นการสรุปข้อมูลที่ได้จากแบบ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 xml:space="preserve">R-IC1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 xml:space="preserve">หรือจากการประชุมพิจารณาร่วมกันของบุคลากรในหน่วยงาน และสอดคล้องกับแบบ </w:t>
            </w:r>
            <w:proofErr w:type="spellStart"/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>ปย.</w:t>
            </w:r>
            <w:proofErr w:type="spellEnd"/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>ใน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 xml:space="preserve"> (4)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>โดยมีข้อมูล/สถิติรองรับการระบุ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>เพื่อจะได้ใช้ประกอบการกำหนดตัวบ่งชี้ของความเสี่ยง เช่น ด้านการสร้างบัณฑิต: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>ผู้สำเร็จการศึกษาคณะ....ส่วนใหญ่ไม่มีงานทำหลังสำเร็จการศึกษา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 xml:space="preserve">เพราะผลการศึกษาร้อยละของบัณฑิตที่มีงานทำของคณะ... ปี ....เท่ากับ 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 xml:space="preserve">40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>เท่านั้น</w:t>
            </w:r>
            <w:r w:rsidRPr="002C4FC6">
              <w:rPr>
                <w:rFonts w:ascii="TH SarabunPSK" w:hAnsi="TH SarabunPSK" w:cs="TH SarabunPSK"/>
                <w:color w:val="0D0D0D"/>
                <w:szCs w:val="22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Cs w:val="22"/>
                <w:cs/>
              </w:rPr>
              <w:t>เป็นต้น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R-IC1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2,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แบบ </w:t>
            </w:r>
            <w:proofErr w:type="spell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ปย.</w:t>
            </w:r>
            <w:proofErr w:type="spell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 xml:space="preserve"> (4)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(2)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สาเหตุหรือปัจจัยที่ทำให้เกิดความเสี่ยง</w:t>
            </w:r>
          </w:p>
        </w:tc>
        <w:tc>
          <w:tcPr>
            <w:tcW w:w="3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ระบุสาเหตุหรือปัจจัยที่ทำให้เกิดความเสี่ยงที่ระบุใน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โดยชี้ให้เห็นว่าสาเหตุเกิดจากตัวบุคคล ระบบ/กระบวนการ วัสดุอุปกรณ์ นโยบาย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หรืออื่นๆ และให้อธิบายถึงลักษณะของสิ่งที่เป็นสาเหตุ ให้ชัดเจน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ซึ่งเป็นการสรุปข้อมูลที่ได้จากแบบ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R-IC1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3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หรือจากการประชุมพิจารณาร่วมกันของบุคลากรในหน่วยงาน เช่น จากตัวอย่างการระบุใน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(1)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อาจระบุสาเหตุใน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การจัดกระบวนการเรียนการสอนของคณะ...ยังไม่เน้นการจัดประสบการณ์ภาคสนามในสถานประกอบการ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หรือแหล่งงานที่ตรงกับสาขาวิชา เท่าที่ควร เป็นต้น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R-IC1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3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(3)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ประเภทความเสี่ยง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 w:hint="cs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ระบุประเภทความเสี่ยงซึ่งสอดคล้องกับสาเหตุฯ ที่ระบุใน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และสอดคล้องเกณฑ์ประกันคุณภาพการศึกษาภายใน โดยเลือกระบุเป็นอย่างใดอย่างหนึ่ง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จากประเภทต่างๆ ดังนี้</w:t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 w:type="page"/>
              <w:t xml:space="preserve">1.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ด้านทรัพยากร (การเงิน งบประมาณ)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                              </w:t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ด้านทรัพยากร (ระบบเทคโนโลยีสารสนเทศ)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 w:type="page"/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3.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ด้านทรัพยากร (อาคารสถานที่ ระบบสาธารณูปโภค)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           </w:t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lastRenderedPageBreak/>
              <w:t xml:space="preserve">4.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ด้านยุทธศาสตร์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หรือกลยุทธ์ของมหาวิทยาลัย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 w:type="page"/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ด้านนโยบาย กฎหมาย ระเบียบ ข้อบังคับ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                         </w:t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6.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ด้านการปฏิบัติงาน (กระบวนการบริหารหลักสูตร)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 w:type="page"/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7.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ด้านการปฏิบัติงาน (การบริหารงานวิจัย)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                         </w:t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8.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ด้านการปฏิบัติงาน (ระบบงาน)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 w:type="page"/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9.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ด้านการปฏิบัติงาน (ระบบประกันคุณภาพ)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                       </w:t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 w:hint="cs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10.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ด้านบุคลากร</w:t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 w:type="page"/>
              <w:t xml:space="preserve">11.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</w:t>
            </w:r>
            <w:proofErr w:type="spell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ธรรมาภิ</w:t>
            </w:r>
            <w:proofErr w:type="spell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บาล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                                                  </w:t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12.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ด้านจรรยาบรรณของอาจารย์และบุคลากร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 w:type="page"/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13.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ด้านอันตรายที่เกิดจากสารเคมี สารทางชีวะ และการเผยแพร่เชื้อโรค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 w:type="page"/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14.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ด้านความปลอดภัยในชีวิตและทรัพย์สิน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                         </w:t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15.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ด้านอื่นๆ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ระบุ)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lastRenderedPageBreak/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lastRenderedPageBreak/>
              <w:t>(4)</w:t>
            </w:r>
          </w:p>
        </w:tc>
        <w:tc>
          <w:tcPr>
            <w:tcW w:w="72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การควบคุมที่มีอยู่</w:t>
            </w:r>
          </w:p>
        </w:tc>
        <w:tc>
          <w:tcPr>
            <w:tcW w:w="331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ระบุการควบคุมที่มีอยู่แล้ว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ซึ่งเป็นขั้นตอน/วิธีปฏิบัติงาน/นโยบาย/กฎเกณฑ์ที่ใช้ปฏิบัติอยู่สำหรับกิจกรรมต่าง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ๆ ที่คาดว่าจะจัดการความเสี่ยงที่ระบุใน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ซึ่งเป็นการสรุปข้อมูลที่ได้จากแบบ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R-IC1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6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หรือจากการประชุมพิจารณาร่วมกันของบุคลากรในหน่วยงาน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และสอดคล้องกับแบบ </w:t>
            </w:r>
            <w:proofErr w:type="spell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ปย.</w:t>
            </w:r>
            <w:proofErr w:type="spell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เช่น จาก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อาจระบุ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4)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คณะ...ได้กำหนดให้นักศึกษาเข้าฝึกงานในสถานประกอบการเป็นเวลาไม่น้อยกว่า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300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ชั่วโมง เป็นต้น</w:t>
            </w:r>
          </w:p>
        </w:tc>
        <w:tc>
          <w:tcPr>
            <w:tcW w:w="70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R-IC1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6,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แบบ </w:t>
            </w:r>
            <w:proofErr w:type="spell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ปย.</w:t>
            </w:r>
            <w:proofErr w:type="spell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>(2)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(5)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การประเมินผลการควบคุม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ระบุผลการประเมินการควบคุมที่มีอยู่ที่ระบุใน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4)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เพื่อให้เห็นว่าเพียงพอและมีประสิทธิผลหรือไม่ โดยตอบคำถามต่อไป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 xml:space="preserve">1.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การกำหนด/สั่งอย่างเป็นทางการให้ปฏิบัติตามการควบคุมหรือไม่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 xml:space="preserve">2.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มีการปฏิบัติจริงตามการควบคุมหรือไม่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 xml:space="preserve">3.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ถ้ามีการปฏิบัติจริง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การควบคุมช่วยให้งานสำเร็จตามวัตถุประสงค์ที่กำหนดหรือไม่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 xml:space="preserve">4.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ประโยชน์ที่ได้รับ คุ้มค่ากับต้นทุนของการควบคุมหรือไม่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 xml:space="preserve">   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ซึ่งเป็นการสรุปข้อมูลที่ได้จากแบบ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R-IC1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6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หรือจากการประชุมพิจารณาร่วมกันของบุคลากรในหน่วยงาน และสอดคล้องกับแบบ </w:t>
            </w:r>
            <w:proofErr w:type="spell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ปย.</w:t>
            </w:r>
            <w:proofErr w:type="spell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ใน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(3)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กรณีที่การควบคุมไม่เพียงพอต่อการจัดการความเสี่ยง เช่น จากตัวอย่างการระบุ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(1)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4)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อาจระบุ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คณะยังไม่มีการกำหนดมาตรการที่มีส่วนช่วยส่งเสริมหรือสนับสนุนให้นักศึกษาเข้าฝึกประสบการณ์ในแหล่งงานที่ตรงตามสาขาวิชา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โดยการสร้างความร่วมมือกับแหล่งงานในอนาคตของนักศึกษา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ส่งผลให้นักศึกษาส่วนใหญ่ยังไม่มีงานทำหลังสำเร็จการศึกษา เป็นต้น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R-IC1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6,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แบบ </w:t>
            </w:r>
            <w:proofErr w:type="spell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ปย.</w:t>
            </w:r>
            <w:proofErr w:type="spell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>(3)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(6)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ตัวบ่งชี้ความเสี่ยง</w:t>
            </w:r>
          </w:p>
        </w:tc>
        <w:tc>
          <w:tcPr>
            <w:tcW w:w="33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ระบุตัวบ่งชี้ความเสี่ยง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ตามความเชื่อมโยงวัตถุประสงค์และขั้นตอนการดำเนินงานด้านต่างๆ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ของมหาวิทยาลัยกับมาตรฐานการประกันคุณภาพการศึกษาภายใน และมาตรฐานการควบคุมภายใน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โดยระบุให้สอดคล้องกับข้อ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1., 2., 2.1, 2.2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เช่น จากตัวอย่างการระบุข้อ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1., 2., 2.1, 2.2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อาจระบุ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6)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 ระบบและกลไกการจัดการเรียนการสอน (</w:t>
            </w:r>
            <w:proofErr w:type="spell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สกอ.</w:t>
            </w:r>
            <w:proofErr w:type="spell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2.6)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ร้อยละของบัณฑิตระดับปริญญาตรีที่ได้งานทำหรือประกอบอาชีพอิสระภายใน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ปี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สมศ.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เป็นต้น ทั้งนี้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ความเสี่ยงอาจมีตัวบ่งชี้หลายตัวได้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ในลักษณะของตัวอย่างข้างต้น โดยมีทั้งตัวบ่งชี้ที่วัดระดับกระบวนการ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และตัวบ่งชี้วัดระดับผลผลิต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(7)</w:t>
            </w:r>
          </w:p>
        </w:tc>
        <w:tc>
          <w:tcPr>
            <w:tcW w:w="72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เป้าหมายตัวบ่งชี้</w:t>
            </w:r>
          </w:p>
        </w:tc>
        <w:tc>
          <w:tcPr>
            <w:tcW w:w="331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ระบุเป้าหมายตัวบ่งชี้ที่ระบุใน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6)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โดยใช้ค่าเป้าหมายตามแผนกลยุทธ์ของหน่วยงาน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ที่สอดคล้องกับแผนกลยุทธ์ของมหาวิทยาลัย</w:t>
            </w:r>
          </w:p>
        </w:tc>
        <w:tc>
          <w:tcPr>
            <w:tcW w:w="70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(8)</w:t>
            </w:r>
          </w:p>
        </w:tc>
        <w:tc>
          <w:tcPr>
            <w:tcW w:w="72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หน่วยนับ</w:t>
            </w:r>
          </w:p>
        </w:tc>
        <w:tc>
          <w:tcPr>
            <w:tcW w:w="331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 w:hint="cs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ระบุหน่วยนับของตัวบ่งชี้ที่ระบุใน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6)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เช่น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จากตัวอย่างการระบุ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6)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ให้ระบุ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7)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 คะแนน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ร้อยละ เป็นต้น</w:t>
            </w:r>
          </w:p>
        </w:tc>
        <w:tc>
          <w:tcPr>
            <w:tcW w:w="70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(9)</w:t>
            </w:r>
          </w:p>
        </w:tc>
        <w:tc>
          <w:tcPr>
            <w:tcW w:w="72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ข้อความระบุความรุนแรง</w:t>
            </w:r>
          </w:p>
        </w:tc>
        <w:tc>
          <w:tcPr>
            <w:tcW w:w="331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ระบุผลกระทบจะเกิดขึ้นจากความเสี่ยงที่ระบุใน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ซึ่งเป็นการสรุปข้อมูลที่ได้จากแบบ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R-IC1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หรือจากการประชุมพิจารณาร่วมกันของบุคลากรในหน่วยงาน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โดยแนวทางการระบุให้พิจารณาจากหลักเกณฑ์ประกอบการพิจารณาระดับความเสี่ยง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เช่น จากตัวอย่างการระบุ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อาจระบุ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9)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เป็น ส่งผลให้ความพึงพอใจ/ความนิยมต่อสาขาวิชา เหลือร้อยละ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40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เท่านั้น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ผลการดำเนินงานด้านการสร้างบัณฑิตของสาขาวิชา...ไม่บรรลุตามเป้าหมายที่กำหนด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เป็นต้น</w:t>
            </w:r>
          </w:p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</w:p>
        </w:tc>
        <w:tc>
          <w:tcPr>
            <w:tcW w:w="7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R-IC1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5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(10)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ข้อความระบุโอกาส</w:t>
            </w:r>
          </w:p>
        </w:tc>
        <w:tc>
          <w:tcPr>
            <w:tcW w:w="33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ระบุโอกาสหรือความถี่ในการความเสี่ยงที่ระบุใน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1) 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ซึ่งเป็นการสรุปข้อมูลที่ได้จากแบบ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R-IC1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ข้อ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4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หรือจากการประชุมพิจารณาร่วมกันของบุคลากรในหน่วยงาน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โดยแนวทางการระบุให้พิจารณาจากหลักเกณฑ์ประกอบการพิจารณาระดับความเสี่ยงเช่น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จากตัวอย่างการระบุ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อาจระบุ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10)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เป็นประจำทุกปี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2-3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ปีต่อครั้ง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ร้อยละ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60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ของผู้สำเร็จการศึกษาทั้งหมด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ตัวตั้ง=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30x100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ตัวหาร=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50)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เป็นต้น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R-IC1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4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(11)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ระดับความรุนแรง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ระบุตัวเลข จาก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1 - 5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เพื่อบอกค่าความรุนแรงจากการเกิดความเสี่ยง ที่สอดคล้องกับการระบุใน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9)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และใช้หลักเกณฑ์ประกอบการพิจารณาระดับความเสี่ยง ประกอบ เช่น จากตัวอย่างการระบุ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(9)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จะได้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เป็น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4, 3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เป็นต้น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(12)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ระดับโอกาส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ระบุตัวเลข จาก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1 - 5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เพื่อบอกค่าโอกาสในการเกิดความเสี่ยง ที่สอดคล้องกับการระบุใน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10)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และใช้หลักเกณฑ์ประกอบการพิจารณาระดับความเสี่ยง ประกอบ เช่น จากตัวอย่างการระบุ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(10)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จะได้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12)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เป็น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5, 2, 3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เป็นต้น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(13)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ผลคูณ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ระบุผลคูณระหว่างระดับความรุนแรงกับระดับโอกาส โดยเอาตัวเลขใน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11)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คูณกับตัวเลขใน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12)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(14)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ระดับความเสี่ยง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ระบุระดับความเสี่ยง โดยเอาผลคูณใน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13)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ไปเทียบกับ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Risk Matrix: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สำหรับวัดระดับของความเสี่ยง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lastRenderedPageBreak/>
              <w:t>(15)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วิธีจัดการความเสี่ยง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ระบุวิธีจัดการความเสี่ยงที่เหมาะสมกับสาเหตุความเสี่ยง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โดยพิจารณาเลือกจากวิธีการจัดการแบบ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4T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ดังนี้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 xml:space="preserve">1. Take: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ยอมรับความเสี่ยง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2. Treat: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ลด/ควบคุมความเสี่ยง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3. Terminate: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หลีกเลี่ยงความเสี่ยง และ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4. Transfer: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กระจาย/โอนความเสี่ยง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ซึ่งในการระบุให้ระบุเฉพาะชื่อภาษาอังกฤษ เท่านั้น เช่น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Take, Treat, Terminate, Transfer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เป็นต้น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(16)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หน่วยงานหลัก</w:t>
            </w: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ระบุชื่อหน่วยงาน/ฝ่าย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ที่จะเป็นหน่วยงานหลักในการจัดการความเสี่ยง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ซึ่งควรเป็นหน่วยงานที่สามารถจัดการความเสี่ยงตามสาเหตุของการเกิดความเสี่ยง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ซึ่งเป็นการสรุปข้อมูลที่ได้จากแบบ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R-IC1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7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หรือจากการประชุมพิจารณาร่วมกันของบุคลากรในหน่วยงาน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R-IC1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7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(17)</w:t>
            </w:r>
          </w:p>
        </w:tc>
        <w:tc>
          <w:tcPr>
            <w:tcW w:w="72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การจัดการแบบ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</w:t>
            </w:r>
          </w:p>
        </w:tc>
        <w:tc>
          <w:tcPr>
            <w:tcW w:w="331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ü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กรณีที่เป็นความเสี่ยงที่ส่งผลกระทบต่อวัตถุประสงค์ในภาพรวมระดับคณะ/หน่วยงาน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และไม่สามารถจัดการให้อยู่ในระดับที่ยอมรับได้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ภายใต้การบริหารและจัดการของหน่วยงานใดหน่วยงานหนึ่งภายในคณะ/หน่วยงาน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ต้องอาศัยความร่วมมือจากหน่วยงานต่างๆ หรือต้อง</w:t>
            </w:r>
            <w:proofErr w:type="spell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บูรณา</w:t>
            </w:r>
            <w:proofErr w:type="spell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การการดำเนินงานจากหลายหน่วยงาน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เพื่อจะได้กำหนดเป็นแผนบริหารความเสี่ยงระดับคณะ/หน่วยงานต่อไป</w:t>
            </w:r>
          </w:p>
        </w:tc>
        <w:tc>
          <w:tcPr>
            <w:tcW w:w="70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(18)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การจัดการแบบ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IC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ü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กรณีที่เป็นความเสี่ยงที่เกี่ยวข้องกับการปรับปรุง แก้ไข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หรือพัฒนากระบวนการปฏิบัติงานของระดับคณะ/หน่วยงาน หรือระดับมหาวิทยาลัย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ซึ่งสามารถจัดการให้อยู่ในระดับที่ยอมรับได้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ภายใต้การบริหารและจัดการของหน่วยงานใดหน่วยงานหนึ่งภายในคณะ/หน่วยงาน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เพื่อจะได้กำหนดเป็นแผนการปรับปรุงการควบคุมภายในระดับคณะ/หน่วยงานต่อไป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(19)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แนวทาง/ข้อเสนอแนะ/วิธีการดำเนินการเพื่อจัดการความเสี่ยง</w:t>
            </w:r>
          </w:p>
        </w:tc>
        <w:tc>
          <w:tcPr>
            <w:tcW w:w="33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ระบุแนวทาง/ข้อเสนอแนะ/วิธีการดำเนินการเพื่อจัดการความเสี่ยง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ซึ่งเป็นการสรุปข้อมูลที่ได้จากแบบ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R-IC1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8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หรือจากการประชุมพิจารณาร่วมกันของบุคลากรในหน่วยงาน และสอดคล้องกับสรุปผลจากแบบ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ปย.</w:t>
            </w:r>
            <w:proofErr w:type="spell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ใน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5)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โดยเป็นวิธีการที่จะช่วยป้องกันหรือลดโอกาสในการเกิดความเสี่ยง คือ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แก้ไขไม่ให้เกิดสาเหตุความเสี่ยง หรือเป็นวิธีการลดผลกระทบจากความเสี่ยง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ความเสียหายจากความเสี่ยง กรณีที่ไม่สามารถแก้ไขที่สาเหตุของความเสี่ยงได้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R-IC1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8,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แบบ </w:t>
            </w:r>
            <w:proofErr w:type="spellStart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ปย.</w:t>
            </w:r>
            <w:proofErr w:type="spellEnd"/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>(5)</w:t>
            </w:r>
          </w:p>
        </w:tc>
      </w:tr>
      <w:tr w:rsidR="00E12421" w:rsidRPr="002C4FC6" w:rsidTr="00931B04">
        <w:trPr>
          <w:trHeight w:val="20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(20)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หมายเหตุ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ระบุข้อมูลอื่นที่ต้องการแจ้งให้ทราบ เช่น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วิธีดำเนินการและเอกสารหลักฐานที่เกี่ยวข้อง เป็นต้น นอกเหนือจากที่ได้ระบุแล้ว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21" w:rsidRPr="002C4FC6" w:rsidRDefault="00E12421" w:rsidP="00E12421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</w:tbl>
    <w:p w:rsidR="00E12421" w:rsidRPr="002C4FC6" w:rsidRDefault="00E12421" w:rsidP="00E12421">
      <w:pPr>
        <w:tabs>
          <w:tab w:val="left" w:pos="0"/>
          <w:tab w:val="left" w:pos="851"/>
          <w:tab w:val="left" w:pos="1134"/>
          <w:tab w:val="left" w:pos="1418"/>
        </w:tabs>
        <w:spacing w:after="0"/>
        <w:jc w:val="center"/>
        <w:rPr>
          <w:b/>
          <w:bCs/>
          <w:color w:val="0D0D0D"/>
          <w:cs/>
        </w:rPr>
      </w:pPr>
    </w:p>
    <w:p w:rsidR="00E12421" w:rsidRDefault="00E12421"/>
    <w:sectPr w:rsidR="00E12421" w:rsidSect="00E12421">
      <w:pgSz w:w="11906" w:h="16838"/>
      <w:pgMar w:top="964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  <w:useFELayout/>
  </w:compat>
  <w:rsids>
    <w:rsidRoot w:val="003F4F8B"/>
    <w:rsid w:val="003F4F8B"/>
    <w:rsid w:val="004B6A7C"/>
    <w:rsid w:val="00587B6E"/>
    <w:rsid w:val="00E12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F8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F4F8B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1645</Words>
  <Characters>9381</Characters>
  <Application>Microsoft Office Word</Application>
  <DocSecurity>0</DocSecurity>
  <Lines>78</Lines>
  <Paragraphs>22</Paragraphs>
  <ScaleCrop>false</ScaleCrop>
  <Company/>
  <LinksUpToDate>false</LinksUpToDate>
  <CharactersWithSpaces>11004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2015-09-10T09:19:00Z</dcterms:created>
  <dcterms:modified xsi:type="dcterms:W3CDTF">2015-09-11T02:23:00Z</dcterms:modified>
</cp:coreProperties>
</file>