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5F4D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  <w:b/>
          <w:bCs/>
        </w:rPr>
      </w:pPr>
      <w:r w:rsidRPr="00E85F4D">
        <w:rPr>
          <w:rFonts w:ascii="TH SarabunPSK" w:hAnsi="TH SarabunPSK" w:cs="TH SarabunPSK" w:hint="cs"/>
          <w:b/>
          <w:bCs/>
          <w:cs/>
        </w:rPr>
        <w:t xml:space="preserve">องค์ประกอบที่ </w:t>
      </w:r>
      <w:r w:rsidRPr="00E85F4D">
        <w:rPr>
          <w:rFonts w:ascii="TH SarabunPSK" w:hAnsi="TH SarabunPSK" w:cs="TH SarabunPSK"/>
          <w:b/>
          <w:bCs/>
        </w:rPr>
        <w:t xml:space="preserve">2 </w:t>
      </w:r>
      <w:r>
        <w:rPr>
          <w:rFonts w:ascii="TH SarabunPSK" w:hAnsi="TH SarabunPSK" w:cs="TH SarabunPSK" w:hint="cs"/>
          <w:b/>
          <w:bCs/>
          <w:cs/>
        </w:rPr>
        <w:tab/>
      </w:r>
      <w:r w:rsidRPr="00E85F4D">
        <w:rPr>
          <w:rFonts w:ascii="TH SarabunPSK" w:hAnsi="TH SarabunPSK" w:cs="TH SarabunPSK" w:hint="cs"/>
          <w:b/>
          <w:bCs/>
          <w:cs/>
        </w:rPr>
        <w:t>การผลิตบัณฑิต</w:t>
      </w:r>
    </w:p>
    <w:p w:rsidR="0028292A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</w:rPr>
        <w:t xml:space="preserve">2.1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ระบบและกลไกการพัฒนาและบริหารหลักสูตร</w:t>
      </w:r>
    </w:p>
    <w:p w:rsidR="0028292A" w:rsidRPr="001F5536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1F5536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1F5536">
        <w:rPr>
          <w:rStyle w:val="a4"/>
          <w:rFonts w:ascii="TH SarabunPSK" w:hAnsi="TH SarabunPSK" w:cs="TH SarabunPSK"/>
        </w:rPr>
        <w:tab/>
      </w:r>
      <w:r w:rsidRPr="001F5536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614CEE" w:rsidRDefault="0028292A" w:rsidP="0028292A">
      <w:pPr>
        <w:ind w:firstLine="0"/>
        <w:rPr>
          <w:rFonts w:ascii="TH SarabunPSK" w:hAnsi="TH SarabunPSK" w:cs="TH SarabunPSK"/>
          <w:sz w:val="36"/>
          <w:szCs w:val="36"/>
        </w:rPr>
      </w:pPr>
      <w:r w:rsidRPr="00614CEE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1843"/>
        <w:gridCol w:w="1984"/>
        <w:gridCol w:w="1985"/>
      </w:tblGrid>
      <w:tr w:rsidR="0028292A" w:rsidRPr="00E95551" w:rsidTr="0028292A">
        <w:tc>
          <w:tcPr>
            <w:tcW w:w="1843" w:type="dxa"/>
            <w:shd w:val="clear" w:color="auto" w:fill="595959"/>
          </w:tcPr>
          <w:p w:rsidR="0028292A" w:rsidRPr="00E97E9A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701" w:type="dxa"/>
            <w:shd w:val="clear" w:color="auto" w:fill="595959"/>
          </w:tcPr>
          <w:p w:rsidR="0028292A" w:rsidRPr="00E97E9A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E97E9A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E97E9A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E97E9A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E97E9A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843" w:type="dxa"/>
          </w:tcPr>
          <w:p w:rsidR="0028292A" w:rsidRPr="001F5536" w:rsidRDefault="0028292A" w:rsidP="0028292A">
            <w:pPr>
              <w:ind w:firstLine="12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</w:p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1 ข้อ</w:t>
            </w:r>
          </w:p>
        </w:tc>
        <w:tc>
          <w:tcPr>
            <w:tcW w:w="1701" w:type="dxa"/>
          </w:tcPr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</w:p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</w:p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3 ข้อ</w:t>
            </w:r>
          </w:p>
        </w:tc>
        <w:tc>
          <w:tcPr>
            <w:tcW w:w="1984" w:type="dxa"/>
          </w:tcPr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</w:p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4 ข้อ</w:t>
            </w:r>
          </w:p>
        </w:tc>
        <w:tc>
          <w:tcPr>
            <w:tcW w:w="1985" w:type="dxa"/>
          </w:tcPr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</w:p>
          <w:p w:rsidR="0028292A" w:rsidRPr="001F5536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F5536">
              <w:rPr>
                <w:rStyle w:val="a5"/>
                <w:rFonts w:ascii="TH SarabunPSK" w:eastAsia="Cordia New" w:hAnsi="TH SarabunPSK" w:cs="TH SarabunPSK"/>
                <w:cs/>
              </w:rPr>
              <w:t>5 ข้อ</w:t>
            </w:r>
          </w:p>
        </w:tc>
      </w:tr>
    </w:tbl>
    <w:p w:rsidR="0028292A" w:rsidRPr="00AE42DF" w:rsidRDefault="0028292A" w:rsidP="0028292A"/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758" w:type="dxa"/>
        <w:jc w:val="center"/>
        <w:tblInd w:w="2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119"/>
        <w:gridCol w:w="3098"/>
        <w:gridCol w:w="2892"/>
      </w:tblGrid>
      <w:tr w:rsidR="00A3176F" w:rsidRPr="00E95551" w:rsidTr="00A3176F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A3176F" w:rsidRPr="00E95551" w:rsidTr="00A3176F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A3176F" w:rsidRPr="004E4D08" w:rsidRDefault="00A3176F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.4pt;height:18.35pt" o:ole="">
                  <v:imagedata r:id="rId6" o:title=""/>
                </v:shape>
                <w:control r:id="rId7" w:name="DefaultOcxName111311" w:shapeid="_x0000_i1043"/>
              </w:object>
            </w:r>
          </w:p>
          <w:p w:rsidR="00A3176F" w:rsidRPr="004E4D08" w:rsidRDefault="00A3176F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A3176F" w:rsidRPr="00E95551" w:rsidRDefault="00A3176F" w:rsidP="005A76E6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spacing w:before="0"/>
              <w:ind w:left="281" w:right="0" w:hanging="28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เปิดหลักสูตรใหม่และปรับปรุงหลักสูตรตามแนวทางปฏิบัติที่กำหนดโดยคณะกรรมการการอุดมศึกษาและดำเนินการตามระบบที่กำหนด</w:t>
            </w:r>
          </w:p>
        </w:tc>
        <w:tc>
          <w:tcPr>
            <w:tcW w:w="3098" w:type="dxa"/>
            <w:tcBorders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92" w:type="dxa"/>
            <w:tcBorders>
              <w:bottom w:val="dotted" w:sz="4" w:space="0" w:color="auto"/>
            </w:tcBorders>
          </w:tcPr>
          <w:p w:rsidR="00A3176F" w:rsidRPr="00E95551" w:rsidRDefault="00A3176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176F" w:rsidRPr="00E95551" w:rsidTr="00A3176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3176F" w:rsidRPr="004E4D08" w:rsidRDefault="00A3176F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44" type="#_x0000_t75" style="width:20.4pt;height:18.35pt" o:ole="">
                  <v:imagedata r:id="rId6" o:title=""/>
                </v:shape>
                <w:control r:id="rId8" w:name="DefaultOcxName111312" w:shapeid="_x0000_i1044"/>
              </w:object>
            </w:r>
          </w:p>
          <w:p w:rsidR="00A3176F" w:rsidRPr="004E4D08" w:rsidRDefault="00A3176F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8C75C5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before="0"/>
              <w:ind w:left="281" w:right="0" w:hanging="28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มีระบบและกลไกการปิดหลักสูตรตามแนวทางปฏิบัติที่กำหนดโดยคณะกรรมการการอุดมศึกษา และดำเนินการตามระบบที่กำหนด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176F" w:rsidRPr="00E95551" w:rsidTr="00A3176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3176F" w:rsidRPr="004E4D08" w:rsidRDefault="00A3176F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45" type="#_x0000_t75" style="width:20.4pt;height:18.35pt" o:ole="">
                  <v:imagedata r:id="rId6" o:title=""/>
                </v:shape>
                <w:control r:id="rId9" w:name="DefaultOcxName111313" w:shapeid="_x0000_i1045"/>
              </w:object>
            </w:r>
          </w:p>
          <w:p w:rsidR="00A3176F" w:rsidRPr="004E4D08" w:rsidRDefault="00A3176F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8C75C5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before="0"/>
              <w:ind w:left="278" w:right="0" w:hanging="283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ทุกหลักสูตรมีการดำเนินงานให้เป็นไปตามเกณฑ์มาตรฐานหลักสูตร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ะดับอุดมศึกษา และกรอบมาตรฐานคุณวุฒิระดับอุดมศึกษาแห่งชาติ (การดำเนินงานตามกรอบมาตรฐานคุณวุฒิระดับอุดมศึกษาแห่งชาติ หมายถึง ต้องมีการประเมินผลตาม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ตัวบ่งชี้ผลการดำเนินงานตามประกาศมาตรฐานคุณวุฒิสาขาหรือสาขาวิชา เพื่อการประกันคุณภาพหลักสูตรและการเรียนการสอน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  ที่หลักสูตรใดยังไม่มีประกาศมาตรฐานคุณวุฒิสาขาหรือสาขาวิชา ให้ประเมินตาม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ตัวบ่งชี้กลางที่กำหนดในภาคผนวก ก) สำหรับหลักสูตรสาขาวิชาชีพ ต้องได้รับการรับรองหลักสูตรจากสภาหรือองค์กรวิชาชีพที่เกี่ยวข้องด้วย(หมายเหตุ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หรับหลักสูตรเก่าหรือหลักสูตรปรับปรุงที่ยังไม่ได้ดำเนินการตามกรอบมาตรฐานคุณวุฒิระดับอุดมศึกษาแห่งชาติก่อนปีการศึกษา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2555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ให้ยึดตามเกณฑ์มาตรฐานหลักสูตรระดับอุดมศึกษา พ.ศ.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 2548)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176F" w:rsidRPr="00E95551" w:rsidTr="00A3176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3176F" w:rsidRPr="004E4D08" w:rsidRDefault="00A3176F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46" type="#_x0000_t75" style="width:20.4pt;height:18.35pt" o:ole="">
                  <v:imagedata r:id="rId6" o:title=""/>
                </v:shape>
                <w:control r:id="rId10" w:name="DefaultOcxName111314" w:shapeid="_x0000_i1046"/>
              </w:object>
            </w:r>
          </w:p>
          <w:p w:rsidR="00A3176F" w:rsidRPr="004E4D08" w:rsidRDefault="00A3176F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8C75C5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before="0"/>
              <w:ind w:left="278" w:right="0" w:hanging="283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มีคณะกรรมการรับผิดชอบควบคุมกำกับให้มีการดำเนินการได้ครบถ้วนทั้งข้อ 1 ข้อ 2 และ ข้อ 3 ข้างต้นตลอดเวลาที่จัดการศึกษา และมีการประเมินหลักสูตรทุกหลักสูตรอย่างน้อยตามกรอบเวลาที่กำหนดในเกณฑ์มาตรฐานหลักสูตรฯ กรณีหลักสูตรที่ดำเนินงานตามกรอบมาตรฐานคุณวุฒิระดับอุดมศึกษาแห่งชาติ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3 ผ่านเกณฑ์การประเมิน 5 ข้อแรกและอย่างน้อยร้อยละ</w:t>
            </w:r>
            <w:r w:rsidRPr="00E95551">
              <w:rPr>
                <w:rFonts w:ascii="TH SarabunPSK" w:hAnsi="TH SarabunPSK" w:cs="TH SarabunPSK"/>
                <w:sz w:val="22"/>
                <w:szCs w:val="28"/>
                <w:cs/>
              </w:rPr>
              <w:t xml:space="preserve"> 80 ของตัวบ่งชี้ที่กำหนดในแต่ละปีทุกหลักสูตร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176F" w:rsidRPr="00E95551" w:rsidTr="00A3176F">
        <w:trPr>
          <w:jc w:val="center"/>
        </w:trPr>
        <w:tc>
          <w:tcPr>
            <w:tcW w:w="649" w:type="dxa"/>
            <w:tcBorders>
              <w:top w:val="dotted" w:sz="4" w:space="0" w:color="auto"/>
            </w:tcBorders>
          </w:tcPr>
          <w:p w:rsidR="00A3176F" w:rsidRPr="004E4D08" w:rsidRDefault="00A3176F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47" type="#_x0000_t75" style="width:20.4pt;height:18.35pt" o:ole="">
                  <v:imagedata r:id="rId6" o:title=""/>
                </v:shape>
                <w:control r:id="rId11" w:name="DefaultOcxName111315" w:shapeid="_x0000_i1047"/>
              </w:object>
            </w:r>
          </w:p>
          <w:p w:rsidR="00A3176F" w:rsidRPr="004E4D08" w:rsidRDefault="00A3176F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A3176F" w:rsidRPr="00E95551" w:rsidRDefault="00A3176F" w:rsidP="008C75C5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before="0"/>
              <w:ind w:left="278" w:right="0" w:hanging="283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2"/>
                <w:szCs w:val="28"/>
                <w:cs/>
              </w:rPr>
              <w:t>มีคณะกรรมการรับผิดชอบควบคุมกำกับให้มีการดำเนินการได้ครบถ้วนทั้งข้อ 1 ข้อ 2 และ ข้อ 3 ข้างต้นตลอดเวลาที่จัดการศึกษาและมีการพัฒนาหลักสูตรทุกหลักสูตรตามผลการประเมินในข้อ 4 กรณีหลักสูตรที่ดำเนินงานตามกรอบมาตรฐานคุณวุฒิระดับอุดมศึกษาแห่งชาติจะต้องควบคุมกำกับให้การดำเนินงานตามตัวบ่งชี้ในข้อ 3 ผ่านเกณฑ์การประเมินครบ ทุกตัวบ่งชี้</w:t>
            </w:r>
            <w:r w:rsidRPr="00E95551">
              <w:rPr>
                <w:rFonts w:ascii="TH SarabunPSK" w:hAnsi="TH SarabunPSK" w:cs="TH SarabunPSK"/>
                <w:sz w:val="22"/>
                <w:szCs w:val="28"/>
                <w:cs/>
              </w:rPr>
              <w:lastRenderedPageBreak/>
              <w:t>และทุกหลักสูตร</w:t>
            </w:r>
          </w:p>
        </w:tc>
        <w:tc>
          <w:tcPr>
            <w:tcW w:w="3098" w:type="dxa"/>
            <w:tcBorders>
              <w:top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92" w:type="dxa"/>
            <w:tcBorders>
              <w:top w:val="dotted" w:sz="4" w:space="0" w:color="auto"/>
            </w:tcBorders>
            <w:vAlign w:val="center"/>
          </w:tcPr>
          <w:p w:rsidR="00A3176F" w:rsidRPr="00E95551" w:rsidRDefault="00A3176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2A020E" w:rsidRDefault="0028292A" w:rsidP="0028292A">
      <w:pPr>
        <w:ind w:firstLine="0"/>
        <w:jc w:val="both"/>
        <w:rPr>
          <w:rFonts w:ascii="TH SarabunPSK" w:hAnsi="TH SarabunPSK" w:cs="TH SarabunPSK"/>
          <w:sz w:val="8"/>
          <w:szCs w:val="8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91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5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55F35" w:rsidRDefault="00755F35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E82A48">
        <w:rPr>
          <w:rStyle w:val="a4"/>
          <w:rFonts w:ascii="TH SarabunPSK" w:hAnsi="TH SarabunPSK" w:cs="TH SarabunPSK"/>
        </w:rPr>
        <w:t xml:space="preserve"> 2.6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ระบบและกลไกการจัดการเรียนการสอน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147BFE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>
        <w:rPr>
          <w:rStyle w:val="a4"/>
          <w:rFonts w:ascii="TH SarabunPSK" w:hAnsi="TH SarabunPSK" w:cs="TH SarabunPSK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85"/>
        <w:gridCol w:w="1842"/>
        <w:gridCol w:w="1843"/>
        <w:gridCol w:w="1843"/>
      </w:tblGrid>
      <w:tr w:rsidR="0028292A" w:rsidRPr="00E95551" w:rsidTr="0028292A">
        <w:tc>
          <w:tcPr>
            <w:tcW w:w="1843" w:type="dxa"/>
            <w:shd w:val="clear" w:color="auto" w:fill="595959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985" w:type="dxa"/>
            <w:shd w:val="clear" w:color="auto" w:fill="595959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47BF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843" w:type="dxa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985" w:type="dxa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หรือ 5 ข้อ</w:t>
            </w:r>
          </w:p>
        </w:tc>
        <w:tc>
          <w:tcPr>
            <w:tcW w:w="1843" w:type="dxa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147BFE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147BFE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650"/>
        <w:gridCol w:w="3118"/>
        <w:gridCol w:w="2588"/>
      </w:tblGrid>
      <w:tr w:rsidR="00195C7E" w:rsidRPr="00E95551" w:rsidTr="00195C7E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195C7E" w:rsidRPr="00E95551" w:rsidRDefault="00195C7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195C7E" w:rsidRPr="00E95551" w:rsidRDefault="00195C7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195C7E" w:rsidRPr="00E95551" w:rsidRDefault="00195C7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195C7E" w:rsidRPr="00E95551" w:rsidRDefault="00195C7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2" type="#_x0000_t75" style="width:20.4pt;height:18.35pt" o:ole="">
                  <v:imagedata r:id="rId6" o:title=""/>
                </v:shape>
                <w:control r:id="rId12" w:name="DefaultOcxName11131568" w:shapeid="_x0000_i1062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bottom w:val="dotted" w:sz="4" w:space="0" w:color="auto"/>
            </w:tcBorders>
            <w:vAlign w:val="center"/>
          </w:tcPr>
          <w:p w:rsidR="00195C7E" w:rsidRPr="00BA3C17" w:rsidRDefault="00195C7E" w:rsidP="00BA3C17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before="0"/>
              <w:ind w:left="318" w:right="0" w:hanging="318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มีระบบและกลไกการประกันคุณภาพการจัดการเรียนการสอนที่เน้นผู้เรียนเป็นสำคัญทุกหลักสูตร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3" type="#_x0000_t75" style="width:20.4pt;height:18.35pt" o:ole="">
                  <v:imagedata r:id="rId6" o:title=""/>
                </v:shape>
                <w:control r:id="rId13" w:name="DefaultOcxName11131569" w:shapeid="_x0000_i1063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C7E" w:rsidRPr="00E95551" w:rsidRDefault="00195C7E" w:rsidP="00195C7E">
            <w:pPr>
              <w:pStyle w:val="a3"/>
              <w:numPr>
                <w:ilvl w:val="0"/>
                <w:numId w:val="15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ทุกรายวิชาของหลักสูตรมีรายละเอียดของรายวิชา และของประสบการณ์ภาคสนาม (ถ้ามี) ก่อนการเปิดสอนในแต่ละภาคการศึกษา ตามที่กำหนดในกรอบมาตรฐานคุณวุฒิระดับอุดมศึกษาแห่งชาติ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4" type="#_x0000_t75" style="width:20.4pt;height:18.35pt" o:ole="">
                  <v:imagedata r:id="rId6" o:title=""/>
                </v:shape>
                <w:control r:id="rId14" w:name="DefaultOcxName111315610" w:shapeid="_x0000_i1064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C7E" w:rsidRPr="00BA3C17" w:rsidRDefault="00195C7E" w:rsidP="00BA3C17">
            <w:pPr>
              <w:pStyle w:val="a3"/>
              <w:numPr>
                <w:ilvl w:val="0"/>
                <w:numId w:val="15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ทุกหลักสูตรมีรายวิชาที่ส่งเสริมทักษะการเรียนรู้ด้วยตนเอง และการให้ผู้เรียนได้เรียนรู้จากการปฏิบัติทั้งในและนอก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ห้องเรียนหรือจากการทำวิจัย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65" type="#_x0000_t75" style="width:20.4pt;height:18.35pt" o:ole="">
                  <v:imagedata r:id="rId6" o:title=""/>
                </v:shape>
                <w:control r:id="rId15" w:name="DefaultOcxName111315611" w:shapeid="_x0000_i1065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C7E" w:rsidRPr="00BA3C17" w:rsidRDefault="00195C7E" w:rsidP="00BA3C17">
            <w:pPr>
              <w:pStyle w:val="a3"/>
              <w:numPr>
                <w:ilvl w:val="0"/>
                <w:numId w:val="15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ทุกหลักสูตร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6" type="#_x0000_t75" style="width:20.4pt;height:18.35pt" o:ole="">
                  <v:imagedata r:id="rId6" o:title=""/>
                </v:shape>
                <w:control r:id="rId16" w:name="DefaultOcxName111315612" w:shapeid="_x0000_i1066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C7E" w:rsidRPr="00BA3C17" w:rsidRDefault="00195C7E" w:rsidP="00BA3C17">
            <w:pPr>
              <w:pStyle w:val="a3"/>
              <w:numPr>
                <w:ilvl w:val="0"/>
                <w:numId w:val="15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7" type="#_x0000_t75" style="width:20.4pt;height:18.35pt" o:ole="">
                  <v:imagedata r:id="rId6" o:title=""/>
                </v:shape>
                <w:control r:id="rId17" w:name="DefaultOcxName111315613" w:shapeid="_x0000_i1067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5C7E" w:rsidRPr="00BA3C17" w:rsidRDefault="00195C7E" w:rsidP="00BA3C17">
            <w:pPr>
              <w:pStyle w:val="a3"/>
              <w:numPr>
                <w:ilvl w:val="0"/>
                <w:numId w:val="15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ความพึงพอใจของผู้เรียนที่มีต่อคุณภาพการจัดการเรียนการสอนและสิ่งสนับสนุนการเรียนรู้ทุกรายวิชา ทุกภาคการศึกษา โดยผลการประเมินความพึงพอใจในแต่ละรายวิชาต้องไม่ต่ำกว่า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3.51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95C7E" w:rsidRPr="00E95551" w:rsidTr="00195C7E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195C7E" w:rsidRPr="004E4D08" w:rsidRDefault="00195C7E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8" type="#_x0000_t75" style="width:20.4pt;height:18.35pt" o:ole="">
                  <v:imagedata r:id="rId6" o:title=""/>
                </v:shape>
                <w:control r:id="rId18" w:name="DefaultOcxName111315614" w:shapeid="_x0000_i1068"/>
              </w:object>
            </w:r>
          </w:p>
          <w:p w:rsidR="00195C7E" w:rsidRPr="004E4D08" w:rsidRDefault="00195C7E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95C7E" w:rsidRPr="00BA3C17" w:rsidRDefault="00195C7E" w:rsidP="00BA3C17">
            <w:pPr>
              <w:pStyle w:val="a3"/>
              <w:numPr>
                <w:ilvl w:val="0"/>
                <w:numId w:val="15"/>
              </w:numPr>
              <w:tabs>
                <w:tab w:val="left" w:pos="318"/>
                <w:tab w:val="left" w:pos="1276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มีการพัฒนาหรือปรับปรุงการจัดการเรียนการสอน กลยุทธ์การสอน หรือการประเมินผลการเรียนรู้ทุกรายวิชา ตามผลการประเมินรายวิชา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single" w:sz="4" w:space="0" w:color="000000"/>
            </w:tcBorders>
          </w:tcPr>
          <w:p w:rsidR="00195C7E" w:rsidRPr="00E95551" w:rsidRDefault="00195C7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755F35" w:rsidRDefault="00755F35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 w:hint="cs"/>
        </w:rPr>
      </w:pPr>
    </w:p>
    <w:p w:rsidR="00755F35" w:rsidRDefault="00755F35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 w:hint="cs"/>
        </w:rPr>
      </w:pPr>
    </w:p>
    <w:p w:rsidR="00755F35" w:rsidRDefault="00755F35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 w:hint="cs"/>
        </w:rPr>
      </w:pPr>
    </w:p>
    <w:p w:rsidR="00755F35" w:rsidRDefault="00755F35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lastRenderedPageBreak/>
        <w:t>ตัวบ่งชี้ที่</w:t>
      </w:r>
      <w:r w:rsidRPr="00E82A48">
        <w:rPr>
          <w:rStyle w:val="a4"/>
          <w:rFonts w:ascii="TH SarabunPSK" w:hAnsi="TH SarabunPSK" w:cs="TH SarabunPSK"/>
        </w:rPr>
        <w:t xml:space="preserve"> 2.7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ระบบและกลไกการพัฒนาสัมฤทธิผลการเรียนตามคุณลักษณะของบัณฑิต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95551" w:rsidTr="0028292A">
        <w:tc>
          <w:tcPr>
            <w:tcW w:w="1985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893217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93217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985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DA69F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508"/>
        <w:gridCol w:w="3118"/>
        <w:gridCol w:w="2730"/>
      </w:tblGrid>
      <w:tr w:rsidR="00BA3C17" w:rsidRPr="00E95551" w:rsidTr="00BA3C17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A3C17" w:rsidRPr="00E95551" w:rsidRDefault="00BA3C17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69" type="#_x0000_t75" style="width:20.4pt;height:18.35pt" o:ole="">
                  <v:imagedata r:id="rId6" o:title=""/>
                </v:shape>
                <w:control r:id="rId19" w:name="DefaultOcxName111315615" w:shapeid="_x0000_i1069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ำรวจคุณลักษณะของบัณฑิตที่พึงประสงค์ตามความต้องการของผู้ใช้บัณฑิตอย่างน้อยสำหรับทุกหลักสูตรระดับปริญญาตรี ทุกรอบระยะเวลาตามแผนกำหนดการศึกษาของหลักสูตร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0" type="#_x0000_t75" style="width:20.4pt;height:18.35pt" o:ole="">
                  <v:imagedata r:id="rId6" o:title=""/>
                </v:shape>
                <w:control r:id="rId20" w:name="DefaultOcxName111315616" w:shapeid="_x0000_i1070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มีการนำผลจากข้อ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มาใช้ในการปรับปรุงหลักสูตร การจัดการเรียนการสอน การวัดผลการศึกษาและสัมฤทธิผลทางการเรียนที่ส่งเสริมทักษะอาชีพและคุณลักษณะของบัณฑิตที่พึงประสงค์ตามความต้องการของผู้ใช้บัณฑิต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1" type="#_x0000_t75" style="width:20.4pt;height:18.35pt" o:ole="">
                  <v:imagedata r:id="rId6" o:title=""/>
                </v:shape>
                <w:control r:id="rId21" w:name="DefaultOcxName111315617" w:shapeid="_x0000_i1071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มีการส่งเสริมสนับสนุนทรัพยากรทั้งด้านบุคลากร เทคโนโลยีสารสนเทศ และงบประมาณที่เอื้อต่อการพัฒนาคุณลักษณะของบัณฑิต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2" type="#_x0000_t75" style="width:20.4pt;height:18.35pt" o:ole="">
                  <v:imagedata r:id="rId6" o:title=""/>
                </v:shape>
                <w:control r:id="rId22" w:name="DefaultOcxName111315618" w:shapeid="_x0000_i1072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C17" w:rsidRPr="00BA3C17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ส่งเสริมให้นักศึกษาระดับปริญญาตรีและบัณฑิตศึกษาเข้าร่วมกิจกรรมการประชุมวิชาการหรือนำเสนอผลงานทางวิชาการในที่ประชุมระหว่างสถาบัน หรือที่ประชุมระดับชาติหรือนานาชาติ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A3C17" w:rsidRPr="00E95551" w:rsidTr="00BA3C17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4E4D08" w:rsidRDefault="00BA3C17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73" type="#_x0000_t75" style="width:20.4pt;height:18.35pt" o:ole="">
                  <v:imagedata r:id="rId6" o:title=""/>
                </v:shape>
                <w:control r:id="rId23" w:name="DefaultOcxName111315619" w:shapeid="_x0000_i1073"/>
              </w:object>
            </w:r>
          </w:p>
          <w:p w:rsidR="00BA3C17" w:rsidRPr="004E4D08" w:rsidRDefault="00BA3C17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A3C17" w:rsidRPr="00E95551" w:rsidRDefault="00BA3C17" w:rsidP="00BA3C17">
            <w:pPr>
              <w:pStyle w:val="a3"/>
              <w:numPr>
                <w:ilvl w:val="0"/>
                <w:numId w:val="16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มีกิจกรรมเสริมสร้างคุณธรรมจริยธรรมให้แก่นักศึกษาระดับปริญญาตรีและบัณฑิตศึกษาที่จัดโดยสถาบัน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single" w:sz="4" w:space="0" w:color="000000"/>
            </w:tcBorders>
          </w:tcPr>
          <w:p w:rsidR="00BA3C17" w:rsidRPr="00E95551" w:rsidRDefault="00BA3C17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55F35" w:rsidRPr="00B7087F" w:rsidRDefault="00755F35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 w:hint="cs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sectPr w:rsidR="0028292A" w:rsidRPr="00CB5935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55F35"/>
    <w:rsid w:val="00772F68"/>
    <w:rsid w:val="007C257B"/>
    <w:rsid w:val="007C5E18"/>
    <w:rsid w:val="007E5E46"/>
    <w:rsid w:val="00801BBA"/>
    <w:rsid w:val="008114B1"/>
    <w:rsid w:val="00811CF8"/>
    <w:rsid w:val="00814428"/>
    <w:rsid w:val="00851F1E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C59A6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3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2014-02-03T04:48:00Z</dcterms:created>
  <dcterms:modified xsi:type="dcterms:W3CDTF">2014-02-03T04:50:00Z</dcterms:modified>
</cp:coreProperties>
</file>