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 2.5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ห้องสมุด อุปกรณ์การศึกษา และสภาพแวดล้อมการเรียนรู้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ปัจจัยนำเข้า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95551" w:rsidTr="0028292A">
        <w:tc>
          <w:tcPr>
            <w:tcW w:w="1985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985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หรือ 5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7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791"/>
        <w:gridCol w:w="3037"/>
        <w:gridCol w:w="2528"/>
      </w:tblGrid>
      <w:tr w:rsidR="00F035C5" w:rsidRPr="00E95551" w:rsidTr="00F035C5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3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F035C5" w:rsidRPr="00E95551" w:rsidTr="00F035C5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F035C5" w:rsidRPr="004E4D08" w:rsidRDefault="00F035C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0.25pt;height:17.9pt" o:ole="">
                  <v:imagedata r:id="rId6" o:title=""/>
                </v:shape>
                <w:control r:id="rId7" w:name="DefaultOcxName11131561" w:shapeid="_x0000_i1055"/>
              </w:object>
            </w:r>
          </w:p>
          <w:p w:rsidR="00F035C5" w:rsidRPr="004E4D08" w:rsidRDefault="00F035C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  <w:vAlign w:val="center"/>
          </w:tcPr>
          <w:p w:rsidR="00F035C5" w:rsidRPr="002845C5" w:rsidRDefault="00F035C5" w:rsidP="0024129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มีการจัดการหรือจัดบริการเพื่อให้นักศึกษามีเครื่องคอมพิวเตอร์ใช้ในอัตราไม่สูงกว่า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8 FTES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ต่อเครื่อง</w:t>
            </w:r>
            <w:r w:rsid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37" w:type="dxa"/>
            <w:tcBorders>
              <w:bottom w:val="dotted" w:sz="4" w:space="0" w:color="auto"/>
            </w:tcBorders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bottom w:val="dotted" w:sz="4" w:space="0" w:color="auto"/>
            </w:tcBorders>
          </w:tcPr>
          <w:p w:rsidR="00F035C5" w:rsidRPr="00241295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(</w:t>
            </w:r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FTES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โดยกองบริการฯ</w:t>
            </w:r>
          </w:p>
          <w:p w:rsidR="00241295" w:rsidRPr="00241295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(จำนวน </w:t>
            </w:r>
            <w:proofErr w:type="spellStart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wifi</w:t>
            </w:r>
            <w:proofErr w:type="spellEnd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proofErr w:type="spellStart"/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นศ.</w:t>
            </w:r>
            <w:proofErr w:type="spellEnd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login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โดยสำนักคอมฯ</w:t>
            </w:r>
          </w:p>
        </w:tc>
      </w:tr>
      <w:tr w:rsidR="00F035C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F035C5" w:rsidRPr="004E4D08" w:rsidRDefault="00F035C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56" type="#_x0000_t75" style="width:20.25pt;height:17.9pt" o:ole="">
                  <v:imagedata r:id="rId6" o:title=""/>
                </v:shape>
                <w:control r:id="rId8" w:name="DefaultOcxName11131562" w:shapeid="_x0000_i1056"/>
              </w:object>
            </w:r>
          </w:p>
          <w:p w:rsidR="00F035C5" w:rsidRPr="004E4D08" w:rsidRDefault="00F035C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5C5" w:rsidRPr="002845C5" w:rsidRDefault="00F035C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มีบริการห้องสมุดและแหล่งเรียนรู้อื่นๆ ผ่านระบบเครือข่ายคอมพิวเตอร์ และมีการฝึกอบรมการใช้งานแก่นักศึกษาทุกปีการศึกษา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5C5" w:rsidRPr="00E101B6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(การอบรมสารสนเทศ และผลการประเมินโครงการ)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ฯ </w:t>
            </w:r>
          </w:p>
          <w:p w:rsidR="00F035C5" w:rsidRPr="00E95551" w:rsidRDefault="00F035C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6" type="#_x0000_t75" style="width:20.25pt;height:17.9pt" o:ole="">
                  <v:imagedata r:id="rId6" o:title=""/>
                </v:shape>
                <w:control r:id="rId9" w:name="DefaultOcxName11131563" w:shapeid="_x0000_i1346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ด้านกายภาพที่เหมาะสมต่อการจัดการเรียนการสอนและการพัฒนานักศึกษาอย่างน้อยในด้านห้องเรียน ห้องปฏิบัติการ อุปกรณ์การศึกษา และจุดเชื่อมต่ออินเตอร์เน็ตในระบบไร้สาย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 (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 ห้องปฏิบัติการ อุปกรณ์การศึกษา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 โดยกองบริการฯ</w:t>
            </w:r>
          </w:p>
          <w:p w:rsidR="00241295" w:rsidRPr="00241295" w:rsidRDefault="00241295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 (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จุดเชื่อมต่ออินเตอร์เน็ตในระบบไร้สาย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 โดยสำนักคอมฯ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7" type="#_x0000_t75" style="width:20.25pt;height:17.9pt" o:ole="">
                  <v:imagedata r:id="rId6" o:title=""/>
                </v:shape>
                <w:control r:id="rId10" w:name="DefaultOcxName11131564" w:shapeid="_x0000_i1347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มีบริการสิ่งอำนวยความสะดวกที่จำเป็นอื่น ๆ อย่างน้อยในด้านงานทะเบียนนักศึกษาผ่านระบบเครือข่ายคอมพิวเตอร์ การบริการอนามัยและการรักษาพยาบาล การจัดการหรือจัดบริการด้านอาหาร และสนามกีฬา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งานทะเบียนนักศึกษา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241295">
              <w:rPr>
                <w:rFonts w:ascii="TH SarabunPSK" w:hAnsi="TH SarabunPSK" w:cs="TH SarabunPSK"/>
                <w:sz w:val="28"/>
                <w:szCs w:val="28"/>
              </w:rPr>
              <w:t>REG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โดยกองบริการฯ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การบริการอนามัยและการรักษาพยาบาล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โดย วิทยาลัย</w:t>
            </w:r>
            <w:proofErr w:type="spellStart"/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แพทย</w:t>
            </w:r>
            <w:proofErr w:type="spellEnd"/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ฯ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การจัดการหรือจัดบริการด้านอาหาร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และหอพัก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 สำนักทรัพย์สินฯ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การจัดการ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สนามกีฬา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 สำนักงานพัฒนานักศึกษา 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8" type="#_x0000_t75" style="width:20.25pt;height:17.9pt" o:ole="">
                  <v:imagedata r:id="rId6" o:title=""/>
                </v:shape>
                <w:control r:id="rId11" w:name="DefaultOcxName11131565" w:shapeid="_x0000_i1348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มีระบบสาธารณูปโภคและรักษาความปลอดภัยของอาคารตลอดจนบริเวณโดยรอบ อย่างน้อยในเรื่องประปา ไฟฟ้า ระบบกำจัด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ของเสีย การจัดการขยะ รวมทั้งมีระบบและอุปกรณ์ป้องกันอัคคีภัยในบริเวณอาคารต่าง ๆ โดยเป็นไปตามกฎหมายที่เกี่ยวข้อง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E95551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กองกายภาพ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341" type="#_x0000_t75" style="width:20.25pt;height:17.9pt" o:ole="">
                  <v:imagedata r:id="rId6" o:title=""/>
                </v:shape>
                <w:control r:id="rId12" w:name="DefaultOcxName11131566" w:shapeid="_x0000_i1341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มีผลการประเมินคุณภาพของบริการในข้อ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2 – 5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ทุกข้อไม่ต่ำกว่า 3.51 จากคะแนนเต็ม 5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E95551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2" type="#_x0000_t75" style="width:20.25pt;height:17.9pt" o:ole="">
                  <v:imagedata r:id="rId6" o:title=""/>
                </v:shape>
                <w:control r:id="rId13" w:name="DefaultOcxName11131567" w:shapeid="_x0000_i1342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มีการนำผลการประเมินคุณภาพในข้อ 6 มาใช้เป็นข้อมูลในการพัฒนาการจัดบริการด้านกายภาพที่สนองความต้องการของผู้รับบริการ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41295" w:rsidRPr="00E95551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top w:val="dotted" w:sz="4" w:space="0" w:color="auto"/>
              <w:bottom w:val="single" w:sz="4" w:space="0" w:color="000000"/>
            </w:tcBorders>
          </w:tcPr>
          <w:p w:rsidR="00241295" w:rsidRPr="00E95551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B529E" w:rsidRDefault="00BB529E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6.2.</w:t>
      </w:r>
      <w:r w:rsidRPr="00E82A48">
        <w:rPr>
          <w:rStyle w:val="a4"/>
          <w:rFonts w:ascii="TH SarabunPSK" w:eastAsia="CordiaNew-Bold" w:hAnsi="TH SarabunPSK" w:cs="TH SarabunPSK"/>
          <w:cs/>
        </w:rPr>
        <w:t>2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การพัฒนาสุนทรียภาพในมิติทางศิลปะและ</w:t>
      </w:r>
      <w:r w:rsidRPr="00E82A48">
        <w:rPr>
          <w:rStyle w:val="a4"/>
          <w:rFonts w:ascii="TH SarabunPSK" w:eastAsia="CordiaNew-Bold" w:hAnsi="TH SarabunPSK" w:cs="TH SarabunPSK"/>
          <w:cs/>
        </w:rPr>
        <w:t>วัฒนธรรม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 xml:space="preserve">เกณฑ์การประเมิน </w:t>
      </w:r>
    </w:p>
    <w:tbl>
      <w:tblPr>
        <w:tblW w:w="9015" w:type="dxa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843"/>
        <w:gridCol w:w="1842"/>
        <w:gridCol w:w="1843"/>
        <w:gridCol w:w="1787"/>
      </w:tblGrid>
      <w:tr w:rsidR="0028292A" w:rsidRPr="007E1C70" w:rsidTr="0028292A">
        <w:trPr>
          <w:jc w:val="center"/>
        </w:trPr>
        <w:tc>
          <w:tcPr>
            <w:tcW w:w="1700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787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7E1C70" w:rsidTr="0028292A">
        <w:trPr>
          <w:jc w:val="center"/>
        </w:trPr>
        <w:tc>
          <w:tcPr>
            <w:tcW w:w="1700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87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Default="0028292A" w:rsidP="0028292A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804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568"/>
        <w:gridCol w:w="3543"/>
        <w:gridCol w:w="1843"/>
      </w:tblGrid>
      <w:tr w:rsidR="0067326B" w:rsidRPr="007E1C70" w:rsidTr="0067326B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41" type="#_x0000_t75" style="width:20.25pt;height:17.9pt" o:ole="">
                  <v:imagedata r:id="rId6" o:title=""/>
                </v:shape>
                <w:control r:id="rId14" w:name="DefaultOcxName111315284721116" w:shapeid="_x0000_i1141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การมีส่วนร่วมของบุคลากรในสถาบันที่ก่อให้เกิดวัฒนธรรมที่ดี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101B6" w:rsidRPr="007E1C70" w:rsidTr="00A379E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1B6" w:rsidRPr="004E4D08" w:rsidRDefault="00E101B6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359" type="#_x0000_t75" style="width:20.25pt;height:17.9pt" o:ole="">
                  <v:imagedata r:id="rId6" o:title=""/>
                </v:shape>
                <w:control r:id="rId15" w:name="DefaultOcxName111315284721115" w:shapeid="_x0000_i1359"/>
              </w:object>
            </w:r>
          </w:p>
          <w:p w:rsidR="00E101B6" w:rsidRPr="004E4D08" w:rsidRDefault="00E101B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B6" w:rsidRPr="0067326B" w:rsidRDefault="00E101B6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อาคารสถานที่ สะอาด และตกแต่งอย่างมีคุณค่าทาง</w:t>
            </w:r>
            <w:proofErr w:type="spellStart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สุนทรีย์</w:t>
            </w:r>
            <w:proofErr w:type="spellEnd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B6" w:rsidRPr="00E101B6" w:rsidRDefault="00E101B6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101B6" w:rsidRPr="00E95551" w:rsidRDefault="00E101B6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กองกายภาพ</w:t>
            </w:r>
          </w:p>
        </w:tc>
      </w:tr>
      <w:tr w:rsidR="00E101B6" w:rsidRPr="007E1C70" w:rsidTr="00A379E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1B6" w:rsidRPr="004E4D08" w:rsidRDefault="00E101B6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60" type="#_x0000_t75" style="width:20.25pt;height:17.9pt" o:ole="">
                  <v:imagedata r:id="rId6" o:title=""/>
                </v:shape>
                <w:control r:id="rId16" w:name="DefaultOcxName111315284721114" w:shapeid="_x0000_i1360"/>
              </w:object>
            </w:r>
          </w:p>
          <w:p w:rsidR="00E101B6" w:rsidRPr="004E4D08" w:rsidRDefault="00E101B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B6" w:rsidRPr="0067326B" w:rsidRDefault="00E101B6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ปรับแต่งและรักษาภูมิทัศน์ให้สวยงามตามธรรมชาติ และเป็นมิตรกับสิ่งแวดล้อม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B6" w:rsidRPr="00E101B6" w:rsidRDefault="00E101B6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101B6" w:rsidRPr="00E95551" w:rsidRDefault="00E101B6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กองกายภาพ</w:t>
            </w: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44" type="#_x0000_t75" style="width:20.25pt;height:17.9pt" o:ole="">
                  <v:imagedata r:id="rId6" o:title=""/>
                </v:shape>
                <w:control r:id="rId17" w:name="DefaultOcxName111315284721113" w:shapeid="_x0000_i1144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มีพื้นที่ทางวัฒนธรรมที่เอื้อและส่งเสริมต่อการจัดกิจกรรม และมีการจัดกิจกรรมอย่างสม่ำเสมอ 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45" type="#_x0000_t75" style="width:20.25pt;height:17.9pt" o:ole="">
                  <v:imagedata r:id="rId6" o:title=""/>
                </v:shape>
                <w:control r:id="rId18" w:name="DefaultOcxName111315284721112" w:shapeid="_x0000_i1145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ระดับความพึงพอใจของบุคลากรและนักศึกษาทั้งองค์กร ไม่ต่ำกว่า </w:t>
            </w:r>
            <w:r w:rsidRPr="007E1C70">
              <w:rPr>
                <w:rFonts w:ascii="TH SarabunPSK" w:hAnsi="TH SarabunPSK" w:cs="TH SarabunPSK"/>
                <w:sz w:val="28"/>
                <w:szCs w:val="28"/>
              </w:rPr>
              <w:t>3.51</w:t>
            </w: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จากคะแนนเต็ม </w:t>
            </w:r>
            <w:r w:rsidRPr="007E1C7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7C5D95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91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59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76E6" w:rsidRDefault="005A76E6" w:rsidP="0028292A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cs/>
        </w:rPr>
      </w:pPr>
    </w:p>
    <w:p w:rsidR="0028292A" w:rsidRPr="00EF060C" w:rsidRDefault="008A7771" w:rsidP="008A7771">
      <w:pPr>
        <w:tabs>
          <w:tab w:val="left" w:pos="1276"/>
        </w:tabs>
        <w:spacing w:before="0"/>
        <w:ind w:right="0" w:firstLine="0"/>
        <w:rPr>
          <w:rStyle w:val="a4"/>
          <w:rFonts w:ascii="TH SarabunPSK" w:hAnsi="TH SarabunPSK" w:cs="TH SarabunPSK"/>
        </w:rPr>
      </w:pPr>
      <w:r w:rsidRPr="00EF060C">
        <w:rPr>
          <w:rStyle w:val="a4"/>
          <w:rFonts w:ascii="TH SarabunPSK" w:hAnsi="TH SarabunPSK" w:cs="TH SarabunPSK"/>
        </w:rPr>
        <w:t xml:space="preserve"> </w:t>
      </w:r>
    </w:p>
    <w:sectPr w:rsidR="0028292A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41295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A7771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10E2E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101B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13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5</cp:revision>
  <cp:lastPrinted>2012-09-12T10:35:00Z</cp:lastPrinted>
  <dcterms:created xsi:type="dcterms:W3CDTF">2014-02-03T06:58:00Z</dcterms:created>
  <dcterms:modified xsi:type="dcterms:W3CDTF">2014-02-03T07:11:00Z</dcterms:modified>
</cp:coreProperties>
</file>